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C7282" w14:textId="1F192B03" w:rsidR="00C11A69" w:rsidRPr="00CA2A40" w:rsidRDefault="00C11A69" w:rsidP="00C11A6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48714A" w:rsidRPr="0048714A">
        <w:rPr>
          <w:szCs w:val="22"/>
        </w:rPr>
        <w:t>R4-2412569</w:t>
      </w:r>
      <w:bookmarkStart w:id="2" w:name="_GoBack"/>
      <w:bookmarkEnd w:id="2"/>
    </w:p>
    <w:p w14:paraId="555191E2" w14:textId="77777777" w:rsidR="00C11A69" w:rsidRPr="00CA2A40" w:rsidRDefault="00C11A69" w:rsidP="00C11A69">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6E545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MPR applicability for FR1 </w:t>
      </w:r>
      <w:r w:rsidR="00D819D1" w:rsidRPr="00D819D1">
        <w:rPr>
          <w:rFonts w:ascii="Arial" w:hAnsi="Arial" w:cs="Arial"/>
          <w:sz w:val="22"/>
          <w:szCs w:val="22"/>
        </w:rPr>
        <w:t>intra-band UL CA</w:t>
      </w:r>
    </w:p>
    <w:p w14:paraId="4FD55D83" w14:textId="2A3E08F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112623">
        <w:rPr>
          <w:rFonts w:ascii="Arial" w:hAnsi="Arial" w:cs="Arial"/>
          <w:sz w:val="22"/>
          <w:szCs w:val="22"/>
        </w:rPr>
        <w:t>8.1.1.2</w:t>
      </w:r>
      <w:r w:rsidR="00066491">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5E277B21" w:rsidR="00AB1467" w:rsidRDefault="00E11C52" w:rsidP="00AB1467">
      <w:pPr>
        <w:jc w:val="both"/>
      </w:pPr>
      <w:r>
        <w:t>During</w:t>
      </w:r>
      <w:r w:rsidR="00AB1467">
        <w:t xml:space="preserve"> RAN</w:t>
      </w:r>
      <w:r w:rsidR="009676FD">
        <w:t>4</w:t>
      </w:r>
      <w:r w:rsidR="008B6EC4">
        <w:t>#</w:t>
      </w:r>
      <w:r w:rsidR="00F72EAC">
        <w:t>1</w:t>
      </w:r>
      <w:r w:rsidR="009676FD">
        <w:t>1</w:t>
      </w:r>
      <w:r w:rsidR="000C6518">
        <w:t>1</w:t>
      </w:r>
      <w:r w:rsidR="008B6EC4">
        <w:t xml:space="preserve">, </w:t>
      </w:r>
      <w:r w:rsidR="007E777D">
        <w:t>MPR applicability</w:t>
      </w:r>
      <w:r w:rsidR="007E777D" w:rsidRPr="007E777D">
        <w:rPr>
          <w:rFonts w:eastAsia="Times New Roman"/>
          <w:sz w:val="24"/>
          <w:lang w:eastAsia="en-GB"/>
        </w:rPr>
        <w:t xml:space="preserve"> </w:t>
      </w:r>
      <w:r w:rsidR="007E777D" w:rsidRPr="007E777D">
        <w:t>for FR</w:t>
      </w:r>
      <w:r w:rsidR="00844483">
        <w:t>1</w:t>
      </w:r>
      <w:r w:rsidR="007E777D" w:rsidRPr="007E777D">
        <w:t xml:space="preserve"> </w:t>
      </w:r>
      <w:r w:rsidR="00844483" w:rsidRPr="00844483">
        <w:t>intra-band contiguous</w:t>
      </w:r>
      <w:r w:rsidR="00844483">
        <w:t>/non-contiguous</w:t>
      </w:r>
      <w:r w:rsidR="00844483" w:rsidRPr="00844483">
        <w:t xml:space="preserve"> UL CA</w:t>
      </w:r>
      <w:r w:rsidR="00F06EA1">
        <w:t xml:space="preserve"> </w:t>
      </w:r>
      <w:r w:rsidR="00844483">
        <w:t>has</w:t>
      </w:r>
      <w:r w:rsidR="00F06EA1">
        <w:t xml:space="preserve"> been </w:t>
      </w:r>
      <w:r w:rsidR="008741F1">
        <w:t>discussed</w:t>
      </w:r>
      <w:r w:rsidR="00F06EA1">
        <w:t>.</w:t>
      </w:r>
      <w:r w:rsidR="008741F1">
        <w:t xml:space="preserve"> Following conclusion</w:t>
      </w:r>
      <w:r w:rsidR="00844483">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2112467" w14:textId="48BC1071" w:rsidR="000C6518" w:rsidRPr="00A47525" w:rsidRDefault="000C6518" w:rsidP="000C6518">
            <w:pPr>
              <w:pStyle w:val="2"/>
              <w:numPr>
                <w:ilvl w:val="0"/>
                <w:numId w:val="0"/>
              </w:numPr>
              <w:spacing w:after="240"/>
              <w:outlineLvl w:val="1"/>
              <w:rPr>
                <w:sz w:val="24"/>
              </w:rPr>
            </w:pPr>
            <w:r w:rsidRPr="00A47525">
              <w:rPr>
                <w:sz w:val="24"/>
              </w:rPr>
              <w:t>MPR applicability</w:t>
            </w:r>
            <w:r w:rsidRPr="00562B57">
              <w:rPr>
                <w:sz w:val="24"/>
                <w:szCs w:val="16"/>
                <w:lang w:val="en-US"/>
              </w:rPr>
              <w:t xml:space="preserve"> for FR1 intra-band contiguous UL CA </w:t>
            </w:r>
          </w:p>
          <w:p w14:paraId="36AE4E46" w14:textId="77777777" w:rsidR="000C6518" w:rsidRDefault="000C6518" w:rsidP="000C6518">
            <w:pPr>
              <w:rPr>
                <w:b/>
              </w:rPr>
            </w:pPr>
            <w:r w:rsidRPr="00FF5129">
              <w:rPr>
                <w:b/>
              </w:rPr>
              <w:t>Way forward:</w:t>
            </w:r>
          </w:p>
          <w:p w14:paraId="57FD9883" w14:textId="77777777" w:rsidR="000C6518" w:rsidRPr="000C6518" w:rsidRDefault="000C6518" w:rsidP="000C6518">
            <w:pPr>
              <w:pStyle w:val="aff6"/>
              <w:widowControl/>
              <w:numPr>
                <w:ilvl w:val="0"/>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0C6518">
              <w:rPr>
                <w:rFonts w:ascii="Times New Roman" w:hAnsi="Times New Roman"/>
                <w:sz w:val="20"/>
                <w:szCs w:val="24"/>
                <w:lang w:eastAsia="zh-CN"/>
              </w:rPr>
              <w:t xml:space="preserve">For PC3 and PC2 contiguous UL CA use the corresponding single CC MPR when only 1 CC is activated. </w:t>
            </w:r>
          </w:p>
          <w:p w14:paraId="36D0C590" w14:textId="77777777" w:rsidR="000C6518" w:rsidRPr="000C6518" w:rsidRDefault="000C6518" w:rsidP="000C6518">
            <w:pPr>
              <w:pStyle w:val="aff6"/>
              <w:widowControl/>
              <w:numPr>
                <w:ilvl w:val="1"/>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0C6518">
              <w:rPr>
                <w:rFonts w:ascii="Times New Roman" w:eastAsiaTheme="minorEastAsia" w:hAnsi="Times New Roman"/>
                <w:sz w:val="20"/>
                <w:lang w:eastAsia="zh-CN"/>
              </w:rPr>
              <w:t xml:space="preserve">FFS: MPR defined in Table 6.2.2-1 applies for UE power class 3 CA bandwidth classes B and C. </w:t>
            </w:r>
          </w:p>
          <w:p w14:paraId="0237F557" w14:textId="77777777" w:rsidR="000C6518" w:rsidRPr="000C6518" w:rsidRDefault="000C6518" w:rsidP="000C6518">
            <w:pPr>
              <w:pStyle w:val="aff6"/>
              <w:widowControl/>
              <w:numPr>
                <w:ilvl w:val="1"/>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0C6518">
              <w:rPr>
                <w:rFonts w:ascii="Times New Roman" w:eastAsiaTheme="minorEastAsia" w:hAnsi="Times New Roman"/>
                <w:sz w:val="20"/>
                <w:lang w:eastAsia="zh-CN"/>
              </w:rPr>
              <w:t xml:space="preserve">FFS: MPR defined in Table 6.2D.2-1 applies for power class 2 CA bandwidth classes B and C when </w:t>
            </w:r>
            <w:proofErr w:type="spellStart"/>
            <w:r w:rsidRPr="000C6518">
              <w:rPr>
                <w:rFonts w:ascii="Times New Roman" w:eastAsiaTheme="minorEastAsia" w:hAnsi="Times New Roman"/>
                <w:sz w:val="20"/>
                <w:lang w:eastAsia="zh-CN"/>
              </w:rPr>
              <w:t>TxD</w:t>
            </w:r>
            <w:proofErr w:type="spellEnd"/>
            <w:r w:rsidRPr="000C6518">
              <w:rPr>
                <w:rFonts w:ascii="Times New Roman" w:eastAsiaTheme="minorEastAsia" w:hAnsi="Times New Roman"/>
                <w:sz w:val="20"/>
                <w:lang w:eastAsia="zh-CN"/>
              </w:rPr>
              <w:t xml:space="preserve"> capability is indicated. </w:t>
            </w:r>
          </w:p>
          <w:p w14:paraId="37CBBDC8" w14:textId="77777777" w:rsidR="000C6518" w:rsidRPr="000C6518" w:rsidRDefault="000C6518" w:rsidP="000C6518">
            <w:pPr>
              <w:pStyle w:val="aff6"/>
              <w:widowControl/>
              <w:numPr>
                <w:ilvl w:val="1"/>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0C6518">
              <w:rPr>
                <w:rFonts w:ascii="Times New Roman" w:eastAsiaTheme="minorEastAsia" w:hAnsi="Times New Roman"/>
                <w:sz w:val="20"/>
                <w:lang w:eastAsia="zh-CN"/>
              </w:rPr>
              <w:t xml:space="preserve">FFS: MPR defined in Table 6.2.2-2 applies for power class 2 CA bandwidth classes B and C when </w:t>
            </w:r>
            <w:proofErr w:type="spellStart"/>
            <w:r w:rsidRPr="000C6518">
              <w:rPr>
                <w:rFonts w:ascii="Times New Roman" w:eastAsiaTheme="minorEastAsia" w:hAnsi="Times New Roman"/>
                <w:sz w:val="20"/>
                <w:lang w:eastAsia="zh-CN"/>
              </w:rPr>
              <w:t>TxD</w:t>
            </w:r>
            <w:proofErr w:type="spellEnd"/>
            <w:r w:rsidRPr="000C6518">
              <w:rPr>
                <w:rFonts w:ascii="Times New Roman" w:eastAsiaTheme="minorEastAsia" w:hAnsi="Times New Roman"/>
                <w:sz w:val="20"/>
                <w:lang w:eastAsia="zh-CN"/>
              </w:rPr>
              <w:t xml:space="preserve"> capability is absent. </w:t>
            </w:r>
          </w:p>
          <w:p w14:paraId="1E3C7DD3" w14:textId="77777777" w:rsidR="000C6518" w:rsidRPr="000C6518" w:rsidRDefault="000C6518" w:rsidP="000C6518">
            <w:pPr>
              <w:pStyle w:val="aff6"/>
              <w:widowControl/>
              <w:numPr>
                <w:ilvl w:val="1"/>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0C6518">
              <w:rPr>
                <w:rFonts w:ascii="Times New Roman" w:eastAsiaTheme="minorEastAsia" w:hAnsi="Times New Roman"/>
                <w:sz w:val="20"/>
                <w:lang w:eastAsia="zh-CN"/>
              </w:rPr>
              <w:t>FFS whether spurious emissions/ACLR/SEM are kept for aggregated CBW for CA</w:t>
            </w:r>
          </w:p>
          <w:p w14:paraId="11B3BBCE" w14:textId="77777777" w:rsidR="000C6518" w:rsidRDefault="000C6518" w:rsidP="000C6518"/>
          <w:p w14:paraId="3738917F" w14:textId="71CFA9F9" w:rsidR="000C6518" w:rsidRPr="00A47525" w:rsidRDefault="000C6518" w:rsidP="000C6518">
            <w:pPr>
              <w:pStyle w:val="2"/>
              <w:numPr>
                <w:ilvl w:val="0"/>
                <w:numId w:val="0"/>
              </w:numPr>
              <w:spacing w:after="240"/>
              <w:outlineLvl w:val="1"/>
              <w:rPr>
                <w:sz w:val="24"/>
              </w:rPr>
            </w:pPr>
            <w:r w:rsidRPr="00A47525">
              <w:rPr>
                <w:sz w:val="24"/>
              </w:rPr>
              <w:t xml:space="preserve">MPR applicability for FR1 intra-band UL non-contiguous CA </w:t>
            </w:r>
          </w:p>
          <w:p w14:paraId="10328FCE" w14:textId="77777777" w:rsidR="000C6518" w:rsidRDefault="000C6518" w:rsidP="000C6518">
            <w:pPr>
              <w:rPr>
                <w:b/>
              </w:rPr>
            </w:pPr>
            <w:r>
              <w:rPr>
                <w:b/>
              </w:rPr>
              <w:t>Way forward:</w:t>
            </w:r>
          </w:p>
          <w:p w14:paraId="7EC37D11" w14:textId="77777777" w:rsidR="000C6518" w:rsidRPr="000C6518" w:rsidRDefault="000C6518" w:rsidP="000C6518">
            <w:pPr>
              <w:rPr>
                <w:rFonts w:eastAsiaTheme="minorEastAsia"/>
              </w:rPr>
            </w:pPr>
            <w:r w:rsidRPr="000C6518">
              <w:rPr>
                <w:rFonts w:eastAsiaTheme="minorEastAsia"/>
              </w:rPr>
              <w:t xml:space="preserve">Enhancements not aligned with the WID will not be considered. </w:t>
            </w:r>
          </w:p>
          <w:p w14:paraId="7E044887" w14:textId="0B7C74F7" w:rsidR="0067071C" w:rsidRPr="000C6518" w:rsidRDefault="000C6518" w:rsidP="000C6518">
            <w:pPr>
              <w:pStyle w:val="aff6"/>
              <w:widowControl/>
              <w:numPr>
                <w:ilvl w:val="0"/>
                <w:numId w:val="42"/>
              </w:numPr>
              <w:overflowPunct w:val="0"/>
              <w:autoSpaceDE w:val="0"/>
              <w:autoSpaceDN w:val="0"/>
              <w:adjustRightInd w:val="0"/>
              <w:spacing w:after="180"/>
              <w:ind w:firstLineChars="0"/>
              <w:jc w:val="left"/>
              <w:textAlignment w:val="baseline"/>
              <w:rPr>
                <w:rFonts w:eastAsiaTheme="minorEastAsia"/>
                <w:lang w:eastAsia="zh-CN"/>
              </w:rPr>
            </w:pPr>
            <w:r w:rsidRPr="000C6518">
              <w:rPr>
                <w:rFonts w:ascii="Times New Roman" w:eastAsiaTheme="minorEastAsia" w:hAnsi="Times New Roman"/>
                <w:sz w:val="20"/>
                <w:szCs w:val="20"/>
                <w:lang w:eastAsia="zh-CN"/>
              </w:rPr>
              <w:t>Further clarify the scope for NC CA in next meeting based on the WID objectives.</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D086468" w14:textId="301F4457" w:rsidR="00EC1618" w:rsidRPr="00EC1618" w:rsidRDefault="00EC1618" w:rsidP="00EC1618">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contiguous UL CA</w:t>
      </w:r>
    </w:p>
    <w:p w14:paraId="02FA6D22" w14:textId="0DF4CFA4" w:rsidR="001662E7" w:rsidRDefault="006E6D1D" w:rsidP="008575B1">
      <w:pPr>
        <w:jc w:val="both"/>
      </w:pPr>
      <w:r>
        <w:t>Reviewing</w:t>
      </w:r>
      <w:r w:rsidR="00D628BE">
        <w:t xml:space="preserve"> the discussion </w:t>
      </w:r>
      <w:r w:rsidR="008F0B1E">
        <w:t xml:space="preserve">in last meeting, </w:t>
      </w:r>
      <w:r w:rsidR="00BE67A1">
        <w:t>agreement</w:t>
      </w:r>
      <w:r w:rsidR="008F0B1E">
        <w:t xml:space="preserve"> on </w:t>
      </w:r>
      <w:r w:rsidR="001662E7">
        <w:t>applying</w:t>
      </w:r>
      <w:r w:rsidR="008F0B1E">
        <w:t xml:space="preserve"> single CC MPR</w:t>
      </w:r>
      <w:r w:rsidR="001662E7">
        <w:t xml:space="preserve"> to intra-band contiguous UL CA when </w:t>
      </w:r>
      <w:proofErr w:type="spellStart"/>
      <w:r w:rsidR="001662E7">
        <w:t>SCell</w:t>
      </w:r>
      <w:proofErr w:type="spellEnd"/>
      <w:r w:rsidR="001662E7">
        <w:t xml:space="preserve"> is deactivated </w:t>
      </w:r>
      <w:r w:rsidR="00BE67A1">
        <w:t>was</w:t>
      </w:r>
      <w:r w:rsidR="001662E7">
        <w:t xml:space="preserve"> almost achieved </w:t>
      </w:r>
      <w:r w:rsidR="00BE67A1">
        <w:t xml:space="preserve">given that </w:t>
      </w:r>
      <w:r w:rsidR="000E0050">
        <w:t xml:space="preserve">UE vendors can be confident in meeting NW scheduling preference when UL traffic is low. </w:t>
      </w:r>
      <w:r w:rsidR="00EC1618">
        <w:t>Actually</w:t>
      </w:r>
      <w:r w:rsidR="000E0050">
        <w:t xml:space="preserve">, MAC CE </w:t>
      </w:r>
      <w:r w:rsidR="00EC1618">
        <w:t>based mechanism</w:t>
      </w:r>
      <w:r w:rsidR="002914DB">
        <w:t xml:space="preserve"> </w:t>
      </w:r>
      <w:r w:rsidR="00EC1618">
        <w:t xml:space="preserve">could provide </w:t>
      </w:r>
      <w:r w:rsidR="002914DB">
        <w:t>sufficient</w:t>
      </w:r>
      <w:r w:rsidR="00EC1618">
        <w:t xml:space="preserve"> time for UE to adjust RF resources assignment </w:t>
      </w:r>
      <w:r w:rsidR="00941EF0">
        <w:t>then</w:t>
      </w:r>
      <w:r w:rsidR="00EC1618">
        <w:t xml:space="preserve"> utilizing smaller MPR can be possible.   </w:t>
      </w:r>
      <w:r w:rsidR="00BE67A1">
        <w:t xml:space="preserve"> </w:t>
      </w:r>
      <w:r w:rsidR="001662E7">
        <w:t xml:space="preserve"> </w:t>
      </w:r>
    </w:p>
    <w:p w14:paraId="0ABDDF76" w14:textId="53163B84" w:rsidR="00941EF0" w:rsidRDefault="00716677" w:rsidP="001A68A6">
      <w:pPr>
        <w:jc w:val="both"/>
        <w:rPr>
          <w:b/>
          <w:i/>
        </w:rPr>
      </w:pPr>
      <w:r>
        <w:rPr>
          <w:b/>
          <w:i/>
        </w:rPr>
        <w:t>Proposal 1:</w:t>
      </w:r>
      <w:r w:rsidR="00941EF0">
        <w:rPr>
          <w:b/>
          <w:i/>
        </w:rPr>
        <w:t xml:space="preserve"> RAN4 specifies the following MPR applicability:</w:t>
      </w:r>
    </w:p>
    <w:p w14:paraId="16F60D20" w14:textId="59EDF834" w:rsidR="00941EF0" w:rsidRPr="00941EF0" w:rsidRDefault="00941EF0"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6DD4A6E6" w14:textId="40869F90" w:rsidR="00941EF0" w:rsidRDefault="00941EF0"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lastRenderedPageBreak/>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1B79B685" w14:textId="422163DE" w:rsidR="00941EF0" w:rsidRDefault="00941EF0"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395D504F" w14:textId="77777777" w:rsidR="00C8443E" w:rsidRDefault="00941EF0"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w:t>
      </w:r>
    </w:p>
    <w:p w14:paraId="4E004AF7" w14:textId="353ED7CA" w:rsidR="00D906BB" w:rsidRDefault="00C8443E" w:rsidP="00D906BB">
      <w:pPr>
        <w:jc w:val="both"/>
        <w:rPr>
          <w:rFonts w:eastAsiaTheme="minorEastAsia"/>
        </w:rPr>
      </w:pPr>
      <w:r>
        <w:t xml:space="preserve">Another issue is whether to keep the </w:t>
      </w:r>
      <w:r w:rsidRPr="000C6518">
        <w:rPr>
          <w:rFonts w:eastAsiaTheme="minorEastAsia"/>
        </w:rPr>
        <w:t>spurious emissions/ACLR/SEM</w:t>
      </w:r>
      <w:r>
        <w:rPr>
          <w:rFonts w:eastAsiaTheme="minorEastAsia"/>
        </w:rPr>
        <w:t xml:space="preserve"> for the aggregated UE CBW. </w:t>
      </w:r>
      <w:r w:rsidR="00D906BB">
        <w:rPr>
          <w:rFonts w:eastAsiaTheme="minorEastAsia"/>
        </w:rPr>
        <w:t xml:space="preserve">Our preference is to keep such flexibility for the UE since smaller MPR can already be delivered through a faster scheduling procedure i.e. MAC CE, instead of pushing it more.   </w:t>
      </w:r>
    </w:p>
    <w:p w14:paraId="3A8D8C81" w14:textId="5BC84C57" w:rsidR="00EC1618" w:rsidRPr="00C8443E" w:rsidRDefault="00D906BB" w:rsidP="005E4BA0">
      <w:pPr>
        <w:jc w:val="both"/>
        <w:rPr>
          <w:b/>
          <w:i/>
        </w:rPr>
      </w:pPr>
      <w:r>
        <w:rPr>
          <w:b/>
          <w:i/>
        </w:rPr>
        <w:t xml:space="preserve">Proposal 2: For Rel-19 MPR applicability for </w:t>
      </w:r>
      <w:r w:rsidRPr="00941EF0">
        <w:rPr>
          <w:b/>
          <w:i/>
        </w:rPr>
        <w:t>FR1 intra-band contiguous UL CA</w:t>
      </w:r>
      <w:r>
        <w:rPr>
          <w:b/>
          <w:i/>
        </w:rPr>
        <w:t>,</w:t>
      </w:r>
      <w:r w:rsidR="005E4BA0">
        <w:rPr>
          <w:b/>
          <w:i/>
        </w:rPr>
        <w:t xml:space="preserve"> the</w:t>
      </w:r>
      <w:r>
        <w:rPr>
          <w:b/>
          <w:i/>
        </w:rPr>
        <w:t xml:space="preserve"> </w:t>
      </w:r>
      <w:r w:rsidRPr="005E4BA0">
        <w:rPr>
          <w:rFonts w:eastAsiaTheme="minorEastAsia"/>
          <w:b/>
          <w:i/>
        </w:rPr>
        <w:t>spurious emissions/ACLR/SEM are kept for aggregated CBW</w:t>
      </w:r>
      <w:r w:rsidR="005E4BA0">
        <w:rPr>
          <w:rFonts w:eastAsiaTheme="minorEastAsia"/>
          <w:b/>
          <w:i/>
        </w:rPr>
        <w:t>.</w:t>
      </w:r>
    </w:p>
    <w:p w14:paraId="2BB53B59" w14:textId="4317DBD4" w:rsidR="00EC1618" w:rsidRPr="00A548FC" w:rsidRDefault="00EC1618" w:rsidP="00EC1618">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non-contiguous UL CA</w:t>
      </w:r>
    </w:p>
    <w:p w14:paraId="635414F7" w14:textId="7D5FC23A" w:rsidR="00EC1618" w:rsidRDefault="00792206" w:rsidP="008575B1">
      <w:pPr>
        <w:jc w:val="both"/>
      </w:pPr>
      <w:r>
        <w:t xml:space="preserve">As we have identified in our previous paper [2], currently single CC MPR requirements are explicitly referenced </w:t>
      </w:r>
      <w:r w:rsidR="00757641">
        <w:t>when</w:t>
      </w:r>
      <w:r w:rsidR="00757641" w:rsidRPr="00757641">
        <w:t xml:space="preserve"> </w:t>
      </w:r>
      <w:r w:rsidR="00757641">
        <w:t>there is no scheduling after configuration and activation on any one of the two component carriers.</w:t>
      </w:r>
    </w:p>
    <w:tbl>
      <w:tblPr>
        <w:tblStyle w:val="af8"/>
        <w:tblW w:w="0" w:type="auto"/>
        <w:tblLook w:val="04A0" w:firstRow="1" w:lastRow="0" w:firstColumn="1" w:lastColumn="0" w:noHBand="0" w:noVBand="1"/>
      </w:tblPr>
      <w:tblGrid>
        <w:gridCol w:w="9631"/>
      </w:tblGrid>
      <w:tr w:rsidR="00DC22DE" w14:paraId="65DF688A" w14:textId="77777777" w:rsidTr="00DC22DE">
        <w:tc>
          <w:tcPr>
            <w:tcW w:w="9631" w:type="dxa"/>
          </w:tcPr>
          <w:p w14:paraId="71E6AC6A" w14:textId="77777777" w:rsidR="00DC22DE" w:rsidRDefault="00DC22DE" w:rsidP="00DC22DE">
            <w:pPr>
              <w:ind w:firstLine="284"/>
              <w:jc w:val="both"/>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39715425" w14:textId="77777777" w:rsidR="00DC22DE" w:rsidRPr="00293AF2" w:rsidRDefault="00DC22DE" w:rsidP="00DC22DE">
            <w:pPr>
              <w:spacing w:after="0"/>
              <w:ind w:left="568"/>
              <w:jc w:val="both"/>
              <w:rPr>
                <w:rFonts w:eastAsia="Yu Mincho"/>
                <w:highlight w:val="yellow"/>
                <w:lang w:val="en-US"/>
              </w:rPr>
            </w:pPr>
            <w:r w:rsidRPr="009F7E82">
              <w:rPr>
                <w:rFonts w:eastAsia="Yu Mincho"/>
                <w:highlight w:val="yellow"/>
                <w:lang w:val="en-US"/>
              </w:rPr>
              <w:t>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p>
          <w:p w14:paraId="4BB5F02C" w14:textId="77777777" w:rsidR="00DC22DE" w:rsidRPr="00293AF2" w:rsidRDefault="00DC22DE" w:rsidP="00DC22DE">
            <w:pPr>
              <w:spacing w:after="0"/>
              <w:ind w:left="568"/>
              <w:jc w:val="both"/>
              <w:rPr>
                <w:rFonts w:eastAsia="Yu Mincho"/>
                <w:highlight w:val="yellow"/>
                <w:lang w:val="en-US"/>
              </w:rPr>
            </w:pPr>
          </w:p>
          <w:p w14:paraId="1DCBB4EF" w14:textId="77777777" w:rsidR="00DC22DE" w:rsidRPr="000363AF" w:rsidRDefault="00DC22DE" w:rsidP="00DC22DE">
            <w:pPr>
              <w:spacing w:after="0"/>
              <w:ind w:left="852" w:firstLine="284"/>
              <w:jc w:val="both"/>
              <w:rPr>
                <w:rFonts w:eastAsia="Yu Mincho"/>
                <w:lang w:val="en-US"/>
              </w:rPr>
            </w:pPr>
            <w:r w:rsidRPr="002E1676">
              <w:rPr>
                <w:rFonts w:eastAsia="Yu Mincho"/>
                <w:lang w:val="en-US"/>
              </w:rPr>
              <w:t xml:space="preserve">MPR defined in </w:t>
            </w:r>
            <w:r w:rsidRPr="009F7E82">
              <w:rPr>
                <w:rFonts w:eastAsia="Yu Mincho"/>
                <w:highlight w:val="yellow"/>
                <w:lang w:val="en-US"/>
              </w:rPr>
              <w:t>Table 6.2.2-1</w:t>
            </w:r>
            <w:r w:rsidRPr="002E1676">
              <w:rPr>
                <w:rFonts w:eastAsia="Yu Mincho"/>
                <w:lang w:val="en-US"/>
              </w:rPr>
              <w:t xml:space="preserve"> and </w:t>
            </w:r>
            <w:r w:rsidRPr="009F7E82">
              <w:rPr>
                <w:rFonts w:eastAsia="Yu Mincho"/>
                <w:highlight w:val="yellow"/>
                <w:lang w:val="en-US"/>
              </w:rPr>
              <w:t>Table 6.2.2-2</w:t>
            </w:r>
            <w:r w:rsidRPr="002E1676">
              <w:rPr>
                <w:rFonts w:eastAsia="Yu Mincho"/>
                <w:lang w:val="en-US"/>
              </w:rPr>
              <w:t xml:space="preserve"> for PC3 and PC2 UE respectively</w:t>
            </w:r>
          </w:p>
          <w:p w14:paraId="2AE8EC59" w14:textId="77777777" w:rsidR="00DC22DE" w:rsidRPr="000363AF" w:rsidRDefault="00DC22DE" w:rsidP="00DC22DE">
            <w:pPr>
              <w:spacing w:after="0"/>
              <w:ind w:left="568"/>
              <w:jc w:val="both"/>
              <w:rPr>
                <w:rFonts w:eastAsia="Yu Mincho"/>
                <w:lang w:val="en-US"/>
              </w:rPr>
            </w:pPr>
          </w:p>
          <w:p w14:paraId="44BFDCA9" w14:textId="77777777" w:rsidR="00DC22DE" w:rsidRPr="00A1115A" w:rsidRDefault="00DC22DE" w:rsidP="00DC22DE">
            <w:pPr>
              <w:spacing w:after="0"/>
              <w:ind w:left="568"/>
              <w:jc w:val="both"/>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0F81206E" w14:textId="77777777" w:rsidR="00DC22DE" w:rsidRPr="00A1115A" w:rsidRDefault="00DC22DE" w:rsidP="00DC22DE">
            <w:pPr>
              <w:spacing w:after="0"/>
              <w:ind w:left="568"/>
              <w:jc w:val="both"/>
              <w:rPr>
                <w:rFonts w:eastAsia="Yu Mincho"/>
                <w:lang w:val="en-US"/>
              </w:rPr>
            </w:pPr>
          </w:p>
          <w:p w14:paraId="67C5D80D" w14:textId="77777777" w:rsidR="00DC22DE" w:rsidRPr="00A1115A" w:rsidRDefault="00DC22DE" w:rsidP="00DC22DE">
            <w:pPr>
              <w:spacing w:after="0"/>
              <w:ind w:left="1134" w:hanging="566"/>
              <w:jc w:val="both"/>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2BFE5E7D" w14:textId="77777777" w:rsidR="00DC22DE" w:rsidRPr="00A1115A" w:rsidRDefault="00DC22DE" w:rsidP="00DC22DE">
            <w:pPr>
              <w:spacing w:after="0"/>
              <w:ind w:left="568"/>
              <w:jc w:val="both"/>
              <w:rPr>
                <w:rFonts w:eastAsia="Yu Mincho"/>
                <w:lang w:val="en-US"/>
              </w:rPr>
            </w:pPr>
          </w:p>
          <w:p w14:paraId="587BAD3D" w14:textId="77777777" w:rsidR="00DC22DE" w:rsidRPr="00A1115A" w:rsidRDefault="00DC22DE" w:rsidP="00DC22DE">
            <w:pPr>
              <w:ind w:left="568"/>
              <w:jc w:val="both"/>
            </w:pPr>
            <w:r w:rsidRPr="00A1115A">
              <w:t>Else</w:t>
            </w:r>
          </w:p>
          <w:p w14:paraId="1BB1D01C" w14:textId="77777777" w:rsidR="00DC22DE" w:rsidRDefault="00DC22DE" w:rsidP="00DC22DE">
            <w:pPr>
              <w:spacing w:after="0"/>
              <w:ind w:left="1134" w:hanging="566"/>
              <w:jc w:val="both"/>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0F897893" w14:textId="77777777" w:rsidR="00DC22DE" w:rsidRPr="00A1115A" w:rsidRDefault="00DC22DE" w:rsidP="00DC22DE">
            <w:pPr>
              <w:spacing w:after="0"/>
              <w:ind w:left="1134" w:hanging="566"/>
              <w:jc w:val="both"/>
              <w:rPr>
                <w:rFonts w:eastAsia="Yu Mincho"/>
                <w:lang w:val="en-US"/>
              </w:rPr>
            </w:pPr>
          </w:p>
          <w:p w14:paraId="27E34DEF" w14:textId="77777777" w:rsidR="00DC22DE" w:rsidRPr="002E1676" w:rsidRDefault="00DC22DE" w:rsidP="00DC22DE">
            <w:pPr>
              <w:spacing w:after="0"/>
              <w:jc w:val="both"/>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56319BF2" w14:textId="77777777" w:rsidR="00DC22DE" w:rsidRPr="002E1676" w:rsidRDefault="00DC22DE" w:rsidP="00DC22DE">
            <w:pPr>
              <w:spacing w:after="0"/>
              <w:jc w:val="both"/>
              <w:rPr>
                <w:rFonts w:eastAsia="Yu Mincho"/>
                <w:lang w:val="en-US"/>
              </w:rPr>
            </w:pPr>
          </w:p>
          <w:p w14:paraId="48386FC0" w14:textId="77777777" w:rsidR="00DC22DE" w:rsidRPr="002E1676" w:rsidRDefault="00DC22DE" w:rsidP="00DC22DE">
            <w:pPr>
              <w:spacing w:after="0"/>
              <w:ind w:left="568"/>
              <w:jc w:val="both"/>
              <w:rPr>
                <w:rFonts w:eastAsia="Yu Mincho"/>
                <w:lang w:val="en-US"/>
              </w:rPr>
            </w:pPr>
            <w:r w:rsidRPr="009F7E82">
              <w:rPr>
                <w:rFonts w:eastAsia="Yu Mincho"/>
                <w:highlight w:val="yellow"/>
                <w:lang w:val="en-US"/>
              </w:rPr>
              <w:t xml:space="preserve">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r w:rsidRPr="009F7E82">
              <w:rPr>
                <w:rFonts w:eastAsia="Yu Mincho"/>
                <w:highlight w:val="yellow"/>
              </w:rPr>
              <w:t xml:space="preserve"> </w:t>
            </w:r>
            <w:r w:rsidRPr="009F7E82">
              <w:rPr>
                <w:rFonts w:eastAsia="Yu Mincho"/>
                <w:highlight w:val="yellow"/>
                <w:lang w:val="en-US"/>
              </w:rPr>
              <w:t>)</w:t>
            </w:r>
          </w:p>
          <w:p w14:paraId="3823F49D" w14:textId="77777777" w:rsidR="00DC22DE" w:rsidRPr="002E1676" w:rsidRDefault="00DC22DE" w:rsidP="00DC22DE">
            <w:pPr>
              <w:spacing w:after="0"/>
              <w:ind w:left="568"/>
              <w:jc w:val="both"/>
              <w:rPr>
                <w:rFonts w:eastAsia="Yu Mincho"/>
                <w:lang w:val="en-US"/>
              </w:rPr>
            </w:pPr>
          </w:p>
          <w:p w14:paraId="566BF909" w14:textId="77777777" w:rsidR="00DC22DE" w:rsidRPr="002E1676" w:rsidRDefault="00DC22DE" w:rsidP="00DC22DE">
            <w:pPr>
              <w:spacing w:after="0"/>
              <w:ind w:left="852" w:firstLine="284"/>
              <w:jc w:val="both"/>
            </w:pPr>
            <w:r w:rsidRPr="002E1676">
              <w:rPr>
                <w:rFonts w:eastAsia="Yu Mincho"/>
                <w:lang w:val="en-US"/>
              </w:rPr>
              <w:t xml:space="preserve">For PC3 UE, MPR defined in </w:t>
            </w:r>
            <w:r w:rsidRPr="009F7E82">
              <w:rPr>
                <w:rFonts w:eastAsia="Yu Mincho"/>
                <w:highlight w:val="yellow"/>
                <w:lang w:val="en-US"/>
              </w:rPr>
              <w:t>Table 6.2.2-1</w:t>
            </w:r>
            <w:r w:rsidRPr="002E1676">
              <w:rPr>
                <w:rFonts w:eastAsia="Yu Mincho"/>
                <w:lang w:val="en-US"/>
              </w:rPr>
              <w:t xml:space="preserve">,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073DAB7C" w14:textId="77777777" w:rsidR="00DC22DE" w:rsidRPr="002E1676" w:rsidRDefault="00DC22DE" w:rsidP="00DC22DE">
            <w:pPr>
              <w:spacing w:after="0"/>
              <w:ind w:left="852" w:firstLine="284"/>
              <w:jc w:val="both"/>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w:t>
            </w:r>
            <w:r w:rsidRPr="009F7E82">
              <w:rPr>
                <w:rFonts w:hint="eastAsia"/>
                <w:highlight w:val="yellow"/>
              </w:rPr>
              <w:t>Table 6.2.2-2</w:t>
            </w:r>
            <w:r w:rsidRPr="002E1676">
              <w:rPr>
                <w:rFonts w:hint="eastAsia"/>
              </w:rPr>
              <w:t xml:space="preserve">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63E86606" w14:textId="77777777" w:rsidR="00DC22DE" w:rsidRPr="002E1676" w:rsidRDefault="00DC22DE" w:rsidP="00DC22DE">
            <w:pPr>
              <w:ind w:left="852" w:firstLine="284"/>
              <w:jc w:val="both"/>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xml:space="preserve">, MPR defined in </w:t>
            </w:r>
            <w:r w:rsidRPr="009F7E82">
              <w:rPr>
                <w:rFonts w:hint="eastAsia"/>
                <w:highlight w:val="yellow"/>
              </w:rPr>
              <w:t>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659ED3F0" w14:textId="77777777" w:rsidR="00DC22DE" w:rsidRPr="002E1676" w:rsidRDefault="00DC22DE" w:rsidP="00DC22DE">
            <w:pPr>
              <w:spacing w:after="0"/>
              <w:ind w:left="568"/>
              <w:jc w:val="both"/>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19357D46" w14:textId="77777777" w:rsidR="00DC22DE" w:rsidRPr="002E1676" w:rsidRDefault="00DC22DE" w:rsidP="00DC22DE">
            <w:pPr>
              <w:spacing w:after="0"/>
              <w:ind w:left="568"/>
              <w:jc w:val="both"/>
              <w:rPr>
                <w:rFonts w:eastAsia="Yu Mincho"/>
                <w:lang w:val="en-US"/>
              </w:rPr>
            </w:pPr>
          </w:p>
          <w:p w14:paraId="3413AD2A" w14:textId="77777777" w:rsidR="00DC22DE" w:rsidRPr="002E1676" w:rsidRDefault="00DC22DE" w:rsidP="00DC22DE">
            <w:pPr>
              <w:spacing w:after="0"/>
              <w:ind w:left="1134" w:hanging="566"/>
              <w:jc w:val="both"/>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71E6E9B7" w14:textId="77777777" w:rsidR="00DC22DE" w:rsidRPr="002E1676" w:rsidRDefault="00DC22DE" w:rsidP="00DC22DE">
            <w:pPr>
              <w:spacing w:after="0"/>
              <w:ind w:left="568"/>
              <w:jc w:val="both"/>
              <w:rPr>
                <w:rFonts w:eastAsia="Yu Mincho"/>
                <w:lang w:val="en-US"/>
              </w:rPr>
            </w:pPr>
          </w:p>
          <w:p w14:paraId="42A0F9EE" w14:textId="77777777" w:rsidR="00DC22DE" w:rsidRPr="002E1676" w:rsidRDefault="00DC22DE" w:rsidP="00DC22DE">
            <w:pPr>
              <w:ind w:left="568"/>
              <w:jc w:val="both"/>
            </w:pPr>
            <w:r w:rsidRPr="002E1676">
              <w:t>Else</w:t>
            </w:r>
          </w:p>
          <w:p w14:paraId="3E0F23DB" w14:textId="1FBF42AE" w:rsidR="00DC22DE" w:rsidRDefault="00DC22DE" w:rsidP="00DC22DE">
            <w:pPr>
              <w:jc w:val="both"/>
            </w:pPr>
            <w:r w:rsidRPr="002E1676">
              <w:rPr>
                <w:rFonts w:eastAsia="Yu Mincho"/>
                <w:lang w:val="en-US"/>
              </w:rPr>
              <w:tab/>
            </w:r>
            <w:r w:rsidRPr="002E1676">
              <w:rPr>
                <w:rFonts w:eastAsia="Yu Mincho"/>
                <w:lang w:val="en-US"/>
              </w:rPr>
              <w:tab/>
              <w:t>MPR defined in Clause 6.2A.2.2.1.3 and Clause 6.2A.2.2.1.4 for PC3 and PC2 UE respectively.</w:t>
            </w:r>
          </w:p>
        </w:tc>
      </w:tr>
    </w:tbl>
    <w:p w14:paraId="5DAB36A9" w14:textId="61314BB6" w:rsidR="00757641" w:rsidRDefault="00757641" w:rsidP="008575B1">
      <w:pPr>
        <w:jc w:val="both"/>
      </w:pPr>
      <w:r>
        <w:t>Regarding those “exception”</w:t>
      </w:r>
      <w:r w:rsidR="00B0703A">
        <w:t xml:space="preserve"> cases for small RB allocation for the UE without indic</w:t>
      </w:r>
      <w:r w:rsidR="008B2CF3">
        <w:t>ating</w:t>
      </w:r>
      <w:r w:rsidR="00B0703A">
        <w:t xml:space="preserve"> </w:t>
      </w:r>
      <w:proofErr w:type="spellStart"/>
      <w:r w:rsidR="00B0703A" w:rsidRPr="00B0703A">
        <w:rPr>
          <w:i/>
        </w:rPr>
        <w:t>dualPA</w:t>
      </w:r>
      <w:proofErr w:type="spellEnd"/>
      <w:r w:rsidR="00B0703A" w:rsidRPr="00B0703A">
        <w:rPr>
          <w:i/>
        </w:rPr>
        <w:t>-architecture</w:t>
      </w:r>
      <w:r w:rsidR="00B0703A">
        <w:t xml:space="preserve">, we </w:t>
      </w:r>
      <w:r w:rsidR="00367B57">
        <w:t xml:space="preserve">notice the requirements were formulated based on </w:t>
      </w:r>
      <w:r w:rsidR="00FF4EBD">
        <w:t xml:space="preserve">the </w:t>
      </w:r>
      <w:r w:rsidR="00B0703A">
        <w:t>measurement</w:t>
      </w:r>
      <w:r w:rsidR="00367B57">
        <w:t>s from</w:t>
      </w:r>
      <w:r w:rsidR="00B0703A">
        <w:t xml:space="preserve"> [3]</w:t>
      </w:r>
      <w:r w:rsidR="00FF4EBD">
        <w:t xml:space="preserve">, in which the worst case of fixed LO </w:t>
      </w:r>
      <w:r w:rsidR="00166663">
        <w:t>has been</w:t>
      </w:r>
      <w:r w:rsidR="008B2CF3">
        <w:t xml:space="preserve"> considered.</w:t>
      </w:r>
    </w:p>
    <w:p w14:paraId="69181270" w14:textId="7DAAA858" w:rsidR="008B2CF3" w:rsidRDefault="008B2CF3" w:rsidP="00127539">
      <w:pPr>
        <w:jc w:val="center"/>
      </w:pPr>
      <w:r>
        <w:rPr>
          <w:noProof/>
          <w:lang w:val="en-US"/>
        </w:rPr>
        <w:lastRenderedPageBreak/>
        <w:drawing>
          <wp:inline distT="0" distB="0" distL="0" distR="0" wp14:anchorId="170939AC" wp14:editId="137A866C">
            <wp:extent cx="4345772" cy="1827379"/>
            <wp:effectExtent l="114300" t="95250" r="112395" b="971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0411" cy="1833535"/>
                    </a:xfrm>
                    <a:prstGeom prst="rect">
                      <a:avLst/>
                    </a:prstGeom>
                    <a:effectLst>
                      <a:outerShdw blurRad="63500" sx="102000" sy="102000" algn="ctr" rotWithShape="0">
                        <a:prstClr val="black">
                          <a:alpha val="40000"/>
                        </a:prstClr>
                      </a:outerShdw>
                    </a:effectLst>
                  </pic:spPr>
                </pic:pic>
              </a:graphicData>
            </a:graphic>
          </wp:inline>
        </w:drawing>
      </w:r>
    </w:p>
    <w:p w14:paraId="6561EE21" w14:textId="790112AF" w:rsidR="003D2D66" w:rsidRDefault="00541AC0" w:rsidP="008575B1">
      <w:pPr>
        <w:jc w:val="both"/>
      </w:pPr>
      <w:r>
        <w:t xml:space="preserve">At this stage, we think it is better to keep the </w:t>
      </w:r>
      <w:r w:rsidR="00DC22DE">
        <w:t xml:space="preserve">existing </w:t>
      </w:r>
      <w:r>
        <w:t>flexibility for UE implementat</w:t>
      </w:r>
      <w:r w:rsidR="00DC22DE">
        <w:t xml:space="preserve">ion unless why the above “worst case” should be precluded can be justified.   </w:t>
      </w:r>
      <w:r w:rsidR="00345751">
        <w:t xml:space="preserve"> </w:t>
      </w:r>
      <w:r>
        <w:t xml:space="preserve"> </w:t>
      </w:r>
    </w:p>
    <w:p w14:paraId="2658B77E" w14:textId="25E7CF6F" w:rsidR="00DC22DE" w:rsidRDefault="00DC22DE" w:rsidP="00DC22DE">
      <w:pPr>
        <w:jc w:val="both"/>
        <w:rPr>
          <w:b/>
          <w:i/>
        </w:rPr>
      </w:pPr>
      <w:r>
        <w:rPr>
          <w:b/>
          <w:i/>
        </w:rPr>
        <w:t xml:space="preserve">Proposal </w:t>
      </w:r>
      <w:r w:rsidR="001C3CFB">
        <w:rPr>
          <w:b/>
          <w:i/>
        </w:rPr>
        <w:t>3</w:t>
      </w:r>
      <w:r>
        <w:rPr>
          <w:b/>
          <w:i/>
        </w:rPr>
        <w:t xml:space="preserve">: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7CBF2A43" w14:textId="064F78F0"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22FE11E1"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w:t>
      </w:r>
      <w:r w:rsidR="00DC22DE">
        <w:t>1</w:t>
      </w:r>
      <w:r w:rsidR="00971FB1" w:rsidRPr="00971FB1">
        <w:t xml:space="preserve"> </w:t>
      </w:r>
      <w:r w:rsidR="00DC22DE">
        <w:t xml:space="preserve">intra-band UL </w:t>
      </w:r>
      <w:r w:rsidR="00971FB1" w:rsidRPr="00971FB1">
        <w:t>CA</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1C99A024" w14:textId="77777777" w:rsidR="00DC22DE" w:rsidRDefault="00DC22DE" w:rsidP="001A68A6">
      <w:pPr>
        <w:jc w:val="both"/>
        <w:rPr>
          <w:b/>
          <w:i/>
        </w:rPr>
      </w:pPr>
      <w:r>
        <w:rPr>
          <w:b/>
          <w:i/>
        </w:rPr>
        <w:t>Proposal 1: RAN4 specifies the following MPR applicability:</w:t>
      </w:r>
    </w:p>
    <w:p w14:paraId="4CA14717" w14:textId="77777777" w:rsidR="00DC22DE" w:rsidRPr="00941EF0" w:rsidRDefault="00DC22DE"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6231182B" w14:textId="77777777" w:rsidR="00DC22DE" w:rsidRDefault="00DC22DE"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10790928" w14:textId="77777777" w:rsidR="00DC22DE" w:rsidRDefault="00DC22DE"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008470B1" w14:textId="759BF5FB" w:rsidR="00DC22DE" w:rsidRPr="00DC22DE" w:rsidRDefault="00DC22DE"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 </w:t>
      </w:r>
    </w:p>
    <w:p w14:paraId="02E1FCC4" w14:textId="05B0439F" w:rsidR="00366201" w:rsidRDefault="00366201" w:rsidP="001A68A6">
      <w:pPr>
        <w:jc w:val="both"/>
        <w:rPr>
          <w:b/>
          <w:i/>
        </w:rPr>
      </w:pPr>
      <w:r>
        <w:rPr>
          <w:b/>
          <w:i/>
        </w:rPr>
        <w:t xml:space="preserve">Proposal 2: For Rel-19 MPR applicability for </w:t>
      </w:r>
      <w:r w:rsidRPr="00941EF0">
        <w:rPr>
          <w:b/>
          <w:i/>
        </w:rPr>
        <w:t>FR1 intra-band contiguous UL CA</w:t>
      </w:r>
      <w:r>
        <w:rPr>
          <w:b/>
          <w:i/>
        </w:rPr>
        <w:t xml:space="preserve">, the </w:t>
      </w:r>
      <w:r w:rsidRPr="005E4BA0">
        <w:rPr>
          <w:rFonts w:eastAsiaTheme="minorEastAsia"/>
          <w:b/>
          <w:i/>
        </w:rPr>
        <w:t>spurious emissions/ACLR/SEM are kept for aggregated CBW</w:t>
      </w:r>
      <w:r>
        <w:rPr>
          <w:rFonts w:eastAsiaTheme="minorEastAsia"/>
          <w:b/>
          <w:i/>
        </w:rPr>
        <w:t>.</w:t>
      </w:r>
    </w:p>
    <w:p w14:paraId="73E3EC06" w14:textId="58D25126" w:rsidR="00DC22DE" w:rsidRDefault="00DC22DE" w:rsidP="001A68A6">
      <w:pPr>
        <w:jc w:val="both"/>
        <w:rPr>
          <w:b/>
          <w:i/>
        </w:rPr>
      </w:pPr>
      <w:r>
        <w:rPr>
          <w:b/>
          <w:i/>
        </w:rPr>
        <w:t xml:space="preserve">Proposal </w:t>
      </w:r>
      <w:r w:rsidR="00366201">
        <w:rPr>
          <w:b/>
          <w:i/>
        </w:rPr>
        <w:t>3</w:t>
      </w:r>
      <w:r>
        <w:rPr>
          <w:b/>
          <w:i/>
        </w:rPr>
        <w:t xml:space="preserve">: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002BFEF5" w14:textId="20C1400B" w:rsidR="00CF4C65" w:rsidRPr="00F13A41" w:rsidRDefault="00BE223D"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F13A41">
        <w:t xml:space="preserve">2410749, </w:t>
      </w:r>
      <w:r w:rsidR="00F13A41" w:rsidRPr="001D14BB">
        <w:t>“</w:t>
      </w:r>
      <w:r w:rsidR="00F13A41" w:rsidRPr="008741F1">
        <w:t>WF on power domain enhancements</w:t>
      </w:r>
      <w:r w:rsidR="00F13A41" w:rsidRPr="001D14BB">
        <w:t xml:space="preserve">”, </w:t>
      </w:r>
      <w:r w:rsidR="00F13A41">
        <w:t>Huawei, HiSilicon</w:t>
      </w:r>
      <w:r w:rsidR="00F13A41" w:rsidRPr="001D14BB">
        <w:t>, 3GPP TSG-RAN</w:t>
      </w:r>
      <w:r w:rsidR="00F13A41">
        <w:t>4</w:t>
      </w:r>
      <w:r w:rsidR="00F13A41" w:rsidRPr="001D14BB">
        <w:t xml:space="preserve"> Meeting #1</w:t>
      </w:r>
      <w:r w:rsidR="00F13A41">
        <w:t>11</w:t>
      </w:r>
      <w:r w:rsidR="00F13A41" w:rsidRPr="001D14BB">
        <w:t xml:space="preserve">, </w:t>
      </w:r>
      <w:r w:rsidR="00F13A41">
        <w:t>Fukuoka</w:t>
      </w:r>
      <w:r w:rsidR="00F13A41" w:rsidRPr="001D14BB">
        <w:t xml:space="preserve">, </w:t>
      </w:r>
      <w:r w:rsidR="00F13A41">
        <w:t>Japan,</w:t>
      </w:r>
      <w:r w:rsidR="00F13A41" w:rsidRPr="001D14BB">
        <w:t xml:space="preserve"> </w:t>
      </w:r>
      <w:r w:rsidR="00F13A41">
        <w:t>May</w:t>
      </w:r>
      <w:r w:rsidR="00F13A41" w:rsidRPr="001D14BB">
        <w:t xml:space="preserve"> </w:t>
      </w:r>
      <w:r w:rsidR="00F13A41">
        <w:t>20-24</w:t>
      </w:r>
      <w:r w:rsidR="00F13A41" w:rsidRPr="001D14BB">
        <w:t>, 2024</w:t>
      </w:r>
      <w:r w:rsidR="00BB41AF">
        <w:t>.</w:t>
      </w:r>
    </w:p>
    <w:p w14:paraId="169C776E" w14:textId="6DD0EC1C" w:rsidR="0067071C" w:rsidRPr="001A68A6" w:rsidRDefault="001A68A6" w:rsidP="001A68A6">
      <w:pPr>
        <w:numPr>
          <w:ilvl w:val="0"/>
          <w:numId w:val="10"/>
        </w:numPr>
        <w:tabs>
          <w:tab w:val="clear" w:pos="720"/>
          <w:tab w:val="num" w:pos="426"/>
        </w:tabs>
        <w:overflowPunct/>
        <w:autoSpaceDE/>
        <w:autoSpaceDN/>
        <w:adjustRightInd/>
        <w:ind w:left="426" w:hanging="426"/>
        <w:jc w:val="both"/>
        <w:textAlignment w:val="auto"/>
        <w:rPr>
          <w:lang w:val="it-IT" w:eastAsia="ja-JP"/>
        </w:rPr>
      </w:pPr>
      <w:r>
        <w:t>R4-2405614, “</w:t>
      </w:r>
      <w:r w:rsidRPr="00792206">
        <w:t>On power domain enhancement for NR single carrier and NR intra-band UL CA for PC2 and PC3</w:t>
      </w:r>
      <w:r>
        <w:t>”</w:t>
      </w:r>
      <w:r w:rsidRPr="001D14BB">
        <w:t xml:space="preserve">, </w:t>
      </w:r>
      <w:r>
        <w:t>Ericsson</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t>.</w:t>
      </w:r>
      <w:r w:rsidR="008969D7">
        <w:t xml:space="preserve">                                                                                                                                    </w:t>
      </w:r>
      <w:r w:rsidR="00796C4E">
        <w:t xml:space="preserve">                               </w:t>
      </w:r>
    </w:p>
    <w:sectPr w:rsidR="0067071C" w:rsidRPr="001A68A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9B055" w14:textId="77777777" w:rsidR="00CB0665" w:rsidRDefault="00CB0665" w:rsidP="0052762B">
      <w:r>
        <w:separator/>
      </w:r>
    </w:p>
  </w:endnote>
  <w:endnote w:type="continuationSeparator" w:id="0">
    <w:p w14:paraId="79E63D1A" w14:textId="77777777" w:rsidR="00CB0665" w:rsidRDefault="00CB06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00C2A" w14:textId="77777777" w:rsidR="00CB0665" w:rsidRDefault="00CB0665" w:rsidP="0052762B">
      <w:r>
        <w:separator/>
      </w:r>
    </w:p>
  </w:footnote>
  <w:footnote w:type="continuationSeparator" w:id="0">
    <w:p w14:paraId="7D678BB3" w14:textId="77777777" w:rsidR="00CB0665" w:rsidRDefault="00CB066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6"/>
  </w:num>
  <w:num w:numId="5">
    <w:abstractNumId w:val="35"/>
  </w:num>
  <w:num w:numId="6">
    <w:abstractNumId w:val="15"/>
  </w:num>
  <w:num w:numId="7">
    <w:abstractNumId w:val="28"/>
  </w:num>
  <w:num w:numId="8">
    <w:abstractNumId w:val="41"/>
  </w:num>
  <w:num w:numId="9">
    <w:abstractNumId w:val="12"/>
  </w:num>
  <w:num w:numId="10">
    <w:abstractNumId w:val="3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3"/>
  </w:num>
  <w:num w:numId="22">
    <w:abstractNumId w:val="4"/>
  </w:num>
  <w:num w:numId="23">
    <w:abstractNumId w:val="24"/>
  </w:num>
  <w:num w:numId="24">
    <w:abstractNumId w:val="25"/>
  </w:num>
  <w:num w:numId="25">
    <w:abstractNumId w:val="34"/>
  </w:num>
  <w:num w:numId="26">
    <w:abstractNumId w:val="10"/>
  </w:num>
  <w:num w:numId="27">
    <w:abstractNumId w:val="20"/>
  </w:num>
  <w:num w:numId="28">
    <w:abstractNumId w:val="16"/>
  </w:num>
  <w:num w:numId="29">
    <w:abstractNumId w:val="6"/>
  </w:num>
  <w:num w:numId="30">
    <w:abstractNumId w:val="40"/>
  </w:num>
  <w:num w:numId="31">
    <w:abstractNumId w:val="7"/>
  </w:num>
  <w:num w:numId="32">
    <w:abstractNumId w:val="30"/>
  </w:num>
  <w:num w:numId="33">
    <w:abstractNumId w:val="31"/>
  </w:num>
  <w:num w:numId="34">
    <w:abstractNumId w:val="33"/>
  </w:num>
  <w:num w:numId="35">
    <w:abstractNumId w:val="37"/>
  </w:num>
  <w:num w:numId="36">
    <w:abstractNumId w:val="0"/>
  </w:num>
  <w:num w:numId="37">
    <w:abstractNumId w:val="22"/>
  </w:num>
  <w:num w:numId="38">
    <w:abstractNumId w:val="32"/>
  </w:num>
  <w:num w:numId="39">
    <w:abstractNumId w:val="11"/>
  </w:num>
  <w:num w:numId="40">
    <w:abstractNumId w:val="1"/>
  </w:num>
  <w:num w:numId="41">
    <w:abstractNumId w:val="38"/>
  </w:num>
  <w:num w:numId="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518"/>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623"/>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8A6"/>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3CF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4D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75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201"/>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2"/>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14A"/>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BA0"/>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4A2"/>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69"/>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3E"/>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665"/>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4F5D"/>
    <w:rsid w:val="00D85402"/>
    <w:rsid w:val="00D86C34"/>
    <w:rsid w:val="00D86C6C"/>
    <w:rsid w:val="00D905FA"/>
    <w:rsid w:val="00D906B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A41"/>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981"/>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6F220-3E35-48DE-B57F-9369485A8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1883</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96</cp:revision>
  <cp:lastPrinted>2010-01-07T02:23:00Z</cp:lastPrinted>
  <dcterms:created xsi:type="dcterms:W3CDTF">2024-04-07T12:55:00Z</dcterms:created>
  <dcterms:modified xsi:type="dcterms:W3CDTF">2024-08-09T11:32:00Z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(3)npJeY5FGzMyQJ44b/2UF7/Lmy1iiMm8sKC2sz4pqCe4ZVA67rYdASTIA7+orfgR1MFipPmTB
qhmTivXDplkCDd/A9SJISrtTU7OhBMZEf62J5u2u52deTpbou5KDzDdq0fuqZ7LBZfkcGdCZ
xMXxkD8SUcfqJo980sggwrUfOBBhaLxxZ5sPDjGJiBKdb3v4b7Qt3yAWLbZ9jsz65Do96BB6
I3E8GPATiHTcYJW6Rz</vt:lpwstr>
  </property>
  <property fmtid="{D5CDD505-2E9C-101B-9397-08002B2CF9AE}" pid="15" name="_2015_ms_pID_725343_00">
    <vt:lpwstr>_2015_ms_pID_725343</vt:lpwstr>
  </property>
  <property fmtid="{D5CDD505-2E9C-101B-9397-08002B2CF9AE}" pid="16" name="_2015_ms_pID_7253431">
    <vt:lpwstr>kgfDSOFIiD+6kEzhkGjoqEsr9CbODcMEbiYphI3NOspGnFF9TZKaxd
VDERAY5nhRLKlr6JgYdSN+adLz8NX3jOnZYfCKBKXLQfa8rxf3Ty7yCJToieDHoKFzG5O0Na
xBnP6prpFdgoInKmWq0ARXHmLX7SBKKnaVjmJeEOL9MtyFETEMMBbEqry01LJWKzNk0nDAcN
OcfPW6EYb6djlUHKcVLSep/Y5LjBPI8edpL5</vt:lpwstr>
  </property>
  <property fmtid="{D5CDD505-2E9C-101B-9397-08002B2CF9AE}" pid="17" name="_2015_ms_pID_7253431_00">
    <vt:lpwstr>_2015_ms_pID_7253431</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